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  <w:start w:val="nil"/>
          <w:end w:val="nil"/>
        </w:tblBorders>
        <w:bidiVisual/>
        <w:tblW w:w="11906" w:type="dxa"/>
        <w:tblLayout w:type="fixed"/>
        <w:tblInd w:w="0" w:type="dxa"/>
      </w:tblPr>
      <w:tblGrid>
        <w:gridCol w:w="3969"/>
        <w:gridCol w:w="7937"/>
      </w:tblGrid>
      <w:tr>
        <w:tc>
          <w:tcPr>
            <w:tcW w:type="dxa" w:w="3969"/>
            <w:gridSpan w:val="2"/>
            <w:shd w:val="clear" w:color="auto" w:fill="14231E"/>
            <w:tcMar>
              <w:top w:w="620" w:type="dxa"/>
              <w:bottom w:w="560" w:type="dxa"/>
              <w:start w:w="900" w:type="dxa"/>
              <w:end w:w="900" w:type="dxa"/>
              <w:left w:w="900" w:type="dxa"/>
              <w:right w:w="900" w:type="dxa"/>
            </w:tcMar>
          </w:tcPr>
          <w:p>
            <w:pPr>
              <w:spacing w:after="40" w:before="0" w:line="237" w:lineRule="auto"/>
              <w:bidi/>
            </w:pPr>
            <w:r>
              <w:rPr>
                <w:rFonts w:ascii="Noto Kufi Arabic" w:hAnsi="Noto Kufi Arabic" w:cs="Noto Kufi Arabic" w:eastAsia="Noto Kufi Arabic"/>
                <w:b/>
                <w:color w:val="FFFFFF"/>
                <w:sz w:val="52"/>
                <w:szCs w:val="52"/>
                <w:bCs/>
                <w:rtl/>
              </w:rPr>
              <w:t>ياسين بن عمارة</w:t>
            </w:r>
          </w:p>
          <w:p>
            <w:pPr>
              <w:spacing w:after="120" w:before="0" w:line="237" w:lineRule="auto"/>
              <w:bidi/>
            </w:pPr>
            <w:r>
              <w:rPr>
                <w:rFonts w:ascii="Noto Kufi Arabic" w:hAnsi="Noto Kufi Arabic" w:cs="Noto Kufi Arabic" w:eastAsia="Noto Kufi Arabic"/>
                <w:b/>
                <w:color w:val="E2A27C"/>
                <w:sz w:val="24"/>
                <w:szCs w:val="24"/>
                <w:bCs/>
                <w:rtl/>
              </w:rPr>
              <w:t>مهندس مدني · مدير أشغال</w:t>
            </w:r>
          </w:p>
          <w:p>
            <w:pPr>
              <w:spacing w:after="0" w:before="0" w:line="279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C9D1CC"/>
                <w:sz w:val="19"/>
                <w:szCs w:val="19"/>
                <w:rtl/>
              </w:rPr>
              <w:t>8 سنوات في ورشات السكن والمرافق العمومية: التخطيط، كشوف الكميات، وقيادة فرق تصل إلى 60 عاملًا.</w:t>
            </w:r>
          </w:p>
        </w:tc>
      </w:tr>
      <w:tr>
        <w:tc>
          <w:tcPr>
            <w:tcW w:type="dxa" w:w="3969"/>
            <w:shd w:val="clear" w:color="auto" w:fill="F3EEE5"/>
            <w:tcMar>
              <w:top w:w="200" w:type="dxa"/>
              <w:bottom w:w="400" w:type="dxa"/>
              <w:start w:w="720" w:type="dxa"/>
              <w:end w:w="520" w:type="dxa"/>
              <w:left w:w="720" w:type="dxa"/>
              <w:right w:w="520" w:type="dxa"/>
            </w:tcMar>
          </w:tcPr>
          <w:p>
            <w:pPr>
              <w:spacing w:after="0"/>
            </w:pPr>
          </w:p>
          <w:p>
            <w:pPr>
              <w:spacing w:after="80" w:before="160" w:line="237" w:lineRule="auto"/>
              <w:bidi/>
              <w:pBdr>
                <w:bottom w:val="single" w:sz="6" w:space="4" w:color="D9D2C4"/>
              </w:pBdr>
            </w:pPr>
            <w:r>
              <w:rPr>
                <w:rFonts w:ascii="Noto Kufi Arabic" w:hAnsi="Noto Kufi Arabic" w:cs="Noto Kufi Arabic" w:eastAsia="Noto Kufi Arabic"/>
                <w:b/>
                <w:color w:val="B5653A"/>
                <w:sz w:val="22"/>
                <w:szCs w:val="22"/>
                <w:bCs/>
                <w:rtl/>
              </w:rPr>
              <w:t>التواصل</w:t>
            </w:r>
          </w:p>
          <w:p>
            <w:pPr>
              <w:spacing w:after="0" w:before="6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6E736F"/>
                <w:sz w:val="16"/>
                <w:szCs w:val="16"/>
                <w:rtl/>
              </w:rPr>
              <w:t>الهاتف</w:t>
            </w:r>
          </w:p>
          <w:p>
            <w:pPr>
              <w:spacing w:after="0" w:before="0" w:line="237" w:lineRule="auto"/>
              <w:bidi/>
            </w:pPr>
            <w:r>
              <w:rPr>
                <w:rFonts w:ascii="Inter" w:hAnsi="Inter" w:cs="Inter" w:eastAsia="Inter"/>
                <w:b/>
                <w:color w:val="14231E"/>
                <w:sz w:val="19"/>
                <w:szCs w:val="19"/>
                <w:bCs/>
                <w:rtl/>
              </w:rPr>
              <w:t>⁦+213 550 00 00 00⁩</w:t>
            </w:r>
          </w:p>
          <w:p>
            <w:pPr>
              <w:spacing w:after="0" w:before="6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6E736F"/>
                <w:sz w:val="16"/>
                <w:szCs w:val="16"/>
                <w:rtl/>
              </w:rPr>
              <w:t>البريد</w:t>
            </w:r>
          </w:p>
          <w:p>
            <w:pPr>
              <w:spacing w:after="0" w:before="0" w:line="237" w:lineRule="auto"/>
              <w:bidi/>
            </w:pPr>
            <w:r>
              <w:rPr>
                <w:rFonts w:ascii="Inter" w:hAnsi="Inter" w:cs="Inter" w:eastAsia="Inter"/>
                <w:b/>
                <w:color w:val="14231E"/>
                <w:sz w:val="19"/>
                <w:szCs w:val="19"/>
                <w:bCs/>
                <w:rtl/>
              </w:rPr>
              <w:t>⁦yacine.b@exemple.dz⁩</w:t>
            </w:r>
          </w:p>
          <w:p>
            <w:pPr>
              <w:spacing w:after="0" w:before="6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6E736F"/>
                <w:sz w:val="16"/>
                <w:szCs w:val="16"/>
                <w:rtl/>
              </w:rPr>
              <w:t>المدينة</w:t>
            </w:r>
          </w:p>
          <w:p>
            <w:pPr>
              <w:spacing w:after="0" w:before="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/>
                <w:color w:val="14231E"/>
                <w:sz w:val="19"/>
                <w:szCs w:val="19"/>
                <w:bCs/>
                <w:rtl/>
              </w:rPr>
              <w:t>وهران، الجزائر</w:t>
            </w:r>
          </w:p>
          <w:p>
            <w:pPr>
              <w:spacing w:after="0" w:before="6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6E736F"/>
                <w:sz w:val="16"/>
                <w:szCs w:val="16"/>
                <w:rtl/>
              </w:rPr>
              <w:t>لينكدإن</w:t>
            </w:r>
          </w:p>
          <w:p>
            <w:pPr>
              <w:spacing w:after="0" w:before="0" w:line="237" w:lineRule="auto"/>
              <w:bidi/>
            </w:pPr>
            <w:r>
              <w:rPr>
                <w:rFonts w:ascii="Inter" w:hAnsi="Inter" w:cs="Inter" w:eastAsia="Inter"/>
                <w:b/>
                <w:color w:val="14231E"/>
                <w:sz w:val="19"/>
                <w:szCs w:val="19"/>
                <w:bCs/>
                <w:rtl/>
              </w:rPr>
              <w:t>⁦linkedin.com/in/exemple⁩</w:t>
            </w:r>
          </w:p>
          <w:p>
            <w:pPr>
              <w:spacing w:after="80" w:before="160" w:line="237" w:lineRule="auto"/>
              <w:bidi/>
              <w:pBdr>
                <w:bottom w:val="single" w:sz="6" w:space="4" w:color="D9D2C4"/>
              </w:pBdr>
            </w:pPr>
            <w:r>
              <w:rPr>
                <w:rFonts w:ascii="Noto Kufi Arabic" w:hAnsi="Noto Kufi Arabic" w:cs="Noto Kufi Arabic" w:eastAsia="Noto Kufi Arabic"/>
                <w:b/>
                <w:color w:val="B5653A"/>
                <w:sz w:val="22"/>
                <w:szCs w:val="22"/>
                <w:bCs/>
                <w:rtl/>
              </w:rPr>
              <w:t>المهارات</w:t>
            </w:r>
          </w:p>
          <w:p>
            <w:pPr>
              <w:spacing w:after="0" w:before="4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8"/>
                <w:szCs w:val="18"/>
                <w:rtl/>
              </w:rPr>
              <w:t>تخطيط الورشات</w:t>
            </w:r>
          </w:p>
          <w:p>
            <w:pPr>
              <w:spacing w:after="40" w:before="0" w:line="227" w:lineRule="auto"/>
              <w:bidi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5"/>
                <w:szCs w:val="15"/>
                <w:rtl/>
              </w:rPr>
              <w:t xml:space="preserve">● ● ● ● ● </w:t>
            </w:r>
            <w:r>
              <w:rPr>
                <w:rFonts w:ascii="DejaVu Sans" w:hAnsi="DejaVu Sans" w:cs="DejaVu Sans" w:eastAsia="DejaVu Sans"/>
                <w:b w:val="0"/>
                <w:color w:val="D9D2C4"/>
                <w:sz w:val="15"/>
                <w:szCs w:val="15"/>
                <w:rtl/>
              </w:rPr>
            </w:r>
          </w:p>
          <w:p>
            <w:pPr>
              <w:spacing w:after="0" w:before="4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8"/>
                <w:szCs w:val="18"/>
                <w:rtl/>
              </w:rPr>
              <w:t>كشوف الكميات والتقديرات</w:t>
            </w:r>
          </w:p>
          <w:p>
            <w:pPr>
              <w:spacing w:after="40" w:before="0" w:line="227" w:lineRule="auto"/>
              <w:bidi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5"/>
                <w:szCs w:val="15"/>
                <w:rtl/>
              </w:rPr>
              <w:t xml:space="preserve">● ● ● ● ● </w:t>
            </w:r>
            <w:r>
              <w:rPr>
                <w:rFonts w:ascii="DejaVu Sans" w:hAnsi="DejaVu Sans" w:cs="DejaVu Sans" w:eastAsia="DejaVu Sans"/>
                <w:b w:val="0"/>
                <w:color w:val="D9D2C4"/>
                <w:sz w:val="15"/>
                <w:szCs w:val="15"/>
                <w:rtl/>
              </w:rPr>
            </w:r>
          </w:p>
          <w:p>
            <w:pPr>
              <w:spacing w:after="0" w:before="4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8"/>
                <w:szCs w:val="18"/>
                <w:rtl/>
              </w:rPr>
              <w:t>قراءة المخططات و BIM</w:t>
            </w:r>
          </w:p>
          <w:p>
            <w:pPr>
              <w:spacing w:after="40" w:before="0" w:line="227" w:lineRule="auto"/>
              <w:bidi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5"/>
                <w:szCs w:val="15"/>
                <w:rtl/>
              </w:rPr>
              <w:t xml:space="preserve">● ● ● ● </w:t>
            </w:r>
            <w:r>
              <w:rPr>
                <w:rFonts w:ascii="DejaVu Sans" w:hAnsi="DejaVu Sans" w:cs="DejaVu Sans" w:eastAsia="DejaVu Sans"/>
                <w:b w:val="0"/>
                <w:color w:val="D9D2C4"/>
                <w:sz w:val="15"/>
                <w:szCs w:val="15"/>
                <w:rtl/>
              </w:rPr>
              <w:t xml:space="preserve">● </w:t>
            </w:r>
          </w:p>
          <w:p>
            <w:pPr>
              <w:spacing w:after="0" w:before="4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8"/>
                <w:szCs w:val="18"/>
                <w:rtl/>
              </w:rPr>
              <w:t>مراقبة جودة الخرسانة</w:t>
            </w:r>
          </w:p>
          <w:p>
            <w:pPr>
              <w:spacing w:after="40" w:before="0" w:line="227" w:lineRule="auto"/>
              <w:bidi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5"/>
                <w:szCs w:val="15"/>
                <w:rtl/>
              </w:rPr>
              <w:t xml:space="preserve">● ● ● ● </w:t>
            </w:r>
            <w:r>
              <w:rPr>
                <w:rFonts w:ascii="DejaVu Sans" w:hAnsi="DejaVu Sans" w:cs="DejaVu Sans" w:eastAsia="DejaVu Sans"/>
                <w:b w:val="0"/>
                <w:color w:val="D9D2C4"/>
                <w:sz w:val="15"/>
                <w:szCs w:val="15"/>
                <w:rtl/>
              </w:rPr>
              <w:t xml:space="preserve">● </w:t>
            </w:r>
          </w:p>
          <w:p>
            <w:pPr>
              <w:spacing w:after="0" w:before="4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8"/>
                <w:szCs w:val="18"/>
                <w:rtl/>
              </w:rPr>
              <w:t>إدارة الفرق</w:t>
            </w:r>
          </w:p>
          <w:p>
            <w:pPr>
              <w:spacing w:after="40" w:before="0" w:line="227" w:lineRule="auto"/>
              <w:bidi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5"/>
                <w:szCs w:val="15"/>
                <w:rtl/>
              </w:rPr>
              <w:t xml:space="preserve">● ● ● ● </w:t>
            </w:r>
            <w:r>
              <w:rPr>
                <w:rFonts w:ascii="DejaVu Sans" w:hAnsi="DejaVu Sans" w:cs="DejaVu Sans" w:eastAsia="DejaVu Sans"/>
                <w:b w:val="0"/>
                <w:color w:val="D9D2C4"/>
                <w:sz w:val="15"/>
                <w:szCs w:val="15"/>
                <w:rtl/>
              </w:rPr>
              <w:t xml:space="preserve">● </w:t>
            </w:r>
          </w:p>
          <w:p>
            <w:pPr>
              <w:spacing w:after="0" w:before="4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8"/>
                <w:szCs w:val="18"/>
                <w:rtl/>
              </w:rPr>
              <w:t>السلامة في الورشة</w:t>
            </w:r>
          </w:p>
          <w:p>
            <w:pPr>
              <w:spacing w:after="40" w:before="0" w:line="227" w:lineRule="auto"/>
              <w:bidi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5"/>
                <w:szCs w:val="15"/>
                <w:rtl/>
              </w:rPr>
              <w:t xml:space="preserve">● ● ● ● </w:t>
            </w:r>
            <w:r>
              <w:rPr>
                <w:rFonts w:ascii="DejaVu Sans" w:hAnsi="DejaVu Sans" w:cs="DejaVu Sans" w:eastAsia="DejaVu Sans"/>
                <w:b w:val="0"/>
                <w:color w:val="D9D2C4"/>
                <w:sz w:val="15"/>
                <w:szCs w:val="15"/>
                <w:rtl/>
              </w:rPr>
              <w:t xml:space="preserve">● </w:t>
            </w:r>
          </w:p>
          <w:p>
            <w:pPr>
              <w:spacing w:after="80" w:before="160" w:line="237" w:lineRule="auto"/>
              <w:bidi/>
              <w:pBdr>
                <w:bottom w:val="single" w:sz="6" w:space="4" w:color="D9D2C4"/>
              </w:pBdr>
            </w:pPr>
            <w:r>
              <w:rPr>
                <w:rFonts w:ascii="Noto Kufi Arabic" w:hAnsi="Noto Kufi Arabic" w:cs="Noto Kufi Arabic" w:eastAsia="Noto Kufi Arabic"/>
                <w:b/>
                <w:color w:val="B5653A"/>
                <w:sz w:val="22"/>
                <w:szCs w:val="22"/>
                <w:bCs/>
                <w:rtl/>
              </w:rPr>
              <w:t>البرامج</w:t>
            </w:r>
          </w:p>
          <w:p>
            <w:pPr>
              <w:spacing w:after="0" w:before="0" w:line="299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8"/>
                <w:szCs w:val="18"/>
                <w:rtl/>
              </w:rPr>
              <w:t>AutoCAD · Revit · Robot Structural · MS Project · Excel · Primavera P6</w:t>
            </w:r>
          </w:p>
          <w:p>
            <w:pPr>
              <w:spacing w:after="80" w:before="160" w:line="237" w:lineRule="auto"/>
              <w:bidi/>
              <w:pBdr>
                <w:bottom w:val="single" w:sz="6" w:space="4" w:color="D9D2C4"/>
              </w:pBdr>
            </w:pPr>
            <w:r>
              <w:rPr>
                <w:rFonts w:ascii="Noto Kufi Arabic" w:hAnsi="Noto Kufi Arabic" w:cs="Noto Kufi Arabic" w:eastAsia="Noto Kufi Arabic"/>
                <w:b/>
                <w:color w:val="B5653A"/>
                <w:sz w:val="22"/>
                <w:szCs w:val="22"/>
                <w:bCs/>
                <w:rtl/>
              </w:rPr>
              <w:t>اللغات</w:t>
            </w:r>
          </w:p>
          <w:p>
            <w:pPr>
              <w:spacing w:after="0" w:before="4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/>
                <w:color w:val="14231E"/>
                <w:sz w:val="19"/>
                <w:szCs w:val="19"/>
                <w:bCs/>
                <w:rtl/>
              </w:rPr>
              <w:t xml:space="preserve">العربية  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6E736F"/>
                <w:sz w:val="17"/>
                <w:szCs w:val="17"/>
                <w:rtl/>
              </w:rPr>
              <w:t>اللغة الأم</w:t>
            </w:r>
          </w:p>
          <w:p>
            <w:pPr>
              <w:spacing w:after="0" w:before="4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/>
                <w:color w:val="14231E"/>
                <w:sz w:val="19"/>
                <w:szCs w:val="19"/>
                <w:bCs/>
                <w:rtl/>
              </w:rPr>
              <w:t xml:space="preserve">الفرنسية  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6E736F"/>
                <w:sz w:val="17"/>
                <w:szCs w:val="17"/>
                <w:rtl/>
              </w:rPr>
              <w:t>ممتاز</w:t>
            </w:r>
          </w:p>
          <w:p>
            <w:pPr>
              <w:spacing w:after="0" w:before="4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/>
                <w:color w:val="14231E"/>
                <w:sz w:val="19"/>
                <w:szCs w:val="19"/>
                <w:bCs/>
                <w:rtl/>
              </w:rPr>
              <w:t xml:space="preserve">الإنجليزية  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6E736F"/>
                <w:sz w:val="17"/>
                <w:szCs w:val="17"/>
                <w:rtl/>
              </w:rPr>
              <w:t>مهني</w:t>
            </w:r>
          </w:p>
          <w:p>
            <w:pPr>
              <w:spacing w:after="0" w:before="4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/>
                <w:color w:val="14231E"/>
                <w:sz w:val="19"/>
                <w:szCs w:val="19"/>
                <w:bCs/>
                <w:rtl/>
              </w:rPr>
              <w:t xml:space="preserve">الأمازيغية  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6E736F"/>
                <w:sz w:val="17"/>
                <w:szCs w:val="17"/>
                <w:rtl/>
              </w:rPr>
              <w:t>محادثة</w:t>
            </w:r>
          </w:p>
        </w:tc>
        <w:tc>
          <w:tcPr>
            <w:tcW w:type="dxa" w:w="7937"/>
            <w:tcMar>
              <w:top w:w="200" w:type="dxa"/>
              <w:bottom w:w="400" w:type="dxa"/>
              <w:start w:w="620" w:type="dxa"/>
              <w:end w:w="900" w:type="dxa"/>
              <w:left w:w="620" w:type="dxa"/>
              <w:right w:w="900" w:type="dxa"/>
            </w:tcMar>
          </w:tcPr>
          <w:p>
            <w:pPr>
              <w:spacing w:after="0"/>
            </w:pPr>
          </w:p>
          <w:p>
            <w:pPr>
              <w:spacing w:after="80" w:before="160" w:line="237" w:lineRule="auto"/>
              <w:bidi/>
              <w:pBdr>
                <w:bottom w:val="single" w:sz="6" w:space="4" w:color="D9D2C4"/>
              </w:pBdr>
            </w:pPr>
            <w:r>
              <w:rPr>
                <w:rFonts w:ascii="Noto Kufi Arabic" w:hAnsi="Noto Kufi Arabic" w:cs="Noto Kufi Arabic" w:eastAsia="Noto Kufi Arabic"/>
                <w:b/>
                <w:color w:val="B5653A"/>
                <w:sz w:val="22"/>
                <w:szCs w:val="22"/>
                <w:bCs/>
                <w:rtl/>
              </w:rPr>
              <w:t>نبذة</w:t>
            </w:r>
          </w:p>
          <w:p>
            <w:pPr>
              <w:spacing w:after="0" w:before="0" w:line="299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20"/>
                <w:szCs w:val="20"/>
                <w:rtl/>
              </w:rPr>
              <w:t>مدير أشغال منظم، معتاد على الآجال الضيقة والورشات متعددة الحصص. أنسّق بين مكتب الدراسات والمقاولين من الباطن وصاحب المشروع، مع تقرير أسبوعي بالأرقام.</w:t>
            </w:r>
          </w:p>
          <w:p>
            <w:pPr>
              <w:spacing w:after="80" w:before="160" w:line="237" w:lineRule="auto"/>
              <w:bidi/>
              <w:pBdr>
                <w:bottom w:val="single" w:sz="6" w:space="4" w:color="D9D2C4"/>
              </w:pBdr>
            </w:pPr>
            <w:r>
              <w:rPr>
                <w:rFonts w:ascii="Noto Kufi Arabic" w:hAnsi="Noto Kufi Arabic" w:cs="Noto Kufi Arabic" w:eastAsia="Noto Kufi Arabic"/>
                <w:b/>
                <w:color w:val="B5653A"/>
                <w:sz w:val="22"/>
                <w:szCs w:val="22"/>
                <w:bCs/>
                <w:rtl/>
              </w:rPr>
              <w:t>الخبرة المهنية</w:t>
            </w:r>
          </w:p>
          <w:p>
            <w:pPr>
              <w:spacing w:after="0" w:before="140" w:line="237" w:lineRule="auto"/>
              <w:bidi/>
            </w:pPr>
            <w:r>
              <w:rPr>
                <w:rFonts w:ascii="Noto Kufi Arabic" w:hAnsi="Noto Kufi Arabic" w:cs="Noto Kufi Arabic" w:eastAsia="Noto Kufi Arabic"/>
                <w:b/>
                <w:color w:val="14231E"/>
                <w:sz w:val="22"/>
                <w:szCs w:val="22"/>
                <w:bCs/>
                <w:rtl/>
              </w:rPr>
              <w:t>مدير أشغال رئيسي</w:t>
            </w:r>
          </w:p>
          <w:p>
            <w:pPr>
              <w:spacing w:after="60" w:before="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B5653A"/>
                <w:sz w:val="18"/>
                <w:szCs w:val="18"/>
                <w:rtl/>
              </w:rPr>
              <w:t>مؤسسة بناء وأشغال عمومية (وهران)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6E736F"/>
                <w:sz w:val="18"/>
                <w:szCs w:val="18"/>
                <w:rtl/>
              </w:rPr>
              <w:t xml:space="preserve">   ·   2022 — الآن</w:t>
            </w:r>
          </w:p>
          <w:p>
            <w:pPr>
              <w:spacing w:after="40" w:before="0" w:line="279" w:lineRule="auto"/>
              <w:bidi/>
              <w:ind w:start="255" w:hanging="200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  <w:rtl/>
              </w:rPr>
              <w:t xml:space="preserve">▪  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9"/>
                <w:szCs w:val="19"/>
                <w:rtl/>
              </w:rPr>
              <w:t>قيادة 3 ورشات متزامنة (120 مسكنًا، ثانوية 800 مقعد، فيلات R+2) بميزانية إجمالية 1.4 مليار د.ج.</w:t>
            </w:r>
          </w:p>
          <w:p>
            <w:pPr>
              <w:spacing w:after="40" w:before="0" w:line="279" w:lineRule="auto"/>
              <w:bidi/>
              <w:ind w:start="255" w:hanging="200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  <w:rtl/>
              </w:rPr>
              <w:t xml:space="preserve">▪  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9"/>
                <w:szCs w:val="19"/>
                <w:rtl/>
              </w:rPr>
              <w:t>إعداد مخطط زمني مشترك ومتابعة أسبوعية للميزانية والتقدم: تقليص متوسط التأخر من 6 أسابيع إلى أسبوعين.</w:t>
            </w:r>
          </w:p>
          <w:p>
            <w:pPr>
              <w:spacing w:after="40" w:before="0" w:line="279" w:lineRule="auto"/>
              <w:bidi/>
              <w:ind w:start="255" w:hanging="200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  <w:rtl/>
              </w:rPr>
              <w:t xml:space="preserve">▪  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9"/>
                <w:szCs w:val="19"/>
                <w:rtl/>
              </w:rPr>
              <w:t>تأطير 4 رؤساء فرق والتنسيق مع 9 مقاولين من الباطن.</w:t>
            </w:r>
          </w:p>
          <w:p>
            <w:pPr>
              <w:spacing w:after="0" w:before="140" w:line="237" w:lineRule="auto"/>
              <w:bidi/>
            </w:pPr>
            <w:r>
              <w:rPr>
                <w:rFonts w:ascii="Noto Kufi Arabic" w:hAnsi="Noto Kufi Arabic" w:cs="Noto Kufi Arabic" w:eastAsia="Noto Kufi Arabic"/>
                <w:b/>
                <w:color w:val="14231E"/>
                <w:sz w:val="22"/>
                <w:szCs w:val="22"/>
                <w:bCs/>
                <w:rtl/>
              </w:rPr>
              <w:t>مهندس أشغال</w:t>
            </w:r>
          </w:p>
          <w:p>
            <w:pPr>
              <w:spacing w:after="60" w:before="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B5653A"/>
                <w:sz w:val="18"/>
                <w:szCs w:val="18"/>
                <w:rtl/>
              </w:rPr>
              <w:t>مكتب دراسات وإنجاز (تلمسان)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6E736F"/>
                <w:sz w:val="18"/>
                <w:szCs w:val="18"/>
                <w:rtl/>
              </w:rPr>
              <w:t xml:space="preserve">   ·   2019 — 2022</w:t>
            </w:r>
          </w:p>
          <w:p>
            <w:pPr>
              <w:spacing w:after="40" w:before="0" w:line="279" w:lineRule="auto"/>
              <w:bidi/>
              <w:ind w:start="255" w:hanging="200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  <w:rtl/>
              </w:rPr>
              <w:t xml:space="preserve">▪  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9"/>
                <w:szCs w:val="19"/>
                <w:rtl/>
              </w:rPr>
              <w:t>كشوف كميات وتقديرات لـ 25 مشروعًا، بفارق متوسط أقل من 4% بين التقدير والإنجاز.</w:t>
            </w:r>
          </w:p>
          <w:p>
            <w:pPr>
              <w:spacing w:after="40" w:before="0" w:line="279" w:lineRule="auto"/>
              <w:bidi/>
              <w:ind w:start="255" w:hanging="200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  <w:rtl/>
              </w:rPr>
              <w:t xml:space="preserve">▪  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9"/>
                <w:szCs w:val="19"/>
                <w:rtl/>
              </w:rPr>
              <w:t>مراقبة التسليح واستلام عمليات الصب وإعداد ملفات التنفيذ.</w:t>
            </w:r>
          </w:p>
          <w:p>
            <w:pPr>
              <w:spacing w:after="0" w:before="140" w:line="237" w:lineRule="auto"/>
              <w:bidi/>
            </w:pPr>
            <w:r>
              <w:rPr>
                <w:rFonts w:ascii="Noto Kufi Arabic" w:hAnsi="Noto Kufi Arabic" w:cs="Noto Kufi Arabic" w:eastAsia="Noto Kufi Arabic"/>
                <w:b/>
                <w:color w:val="14231E"/>
                <w:sz w:val="22"/>
                <w:szCs w:val="22"/>
                <w:bCs/>
                <w:rtl/>
              </w:rPr>
              <w:t>مهندس متربص</w:t>
            </w:r>
          </w:p>
          <w:p>
            <w:pPr>
              <w:spacing w:after="60" w:before="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B5653A"/>
                <w:sz w:val="18"/>
                <w:szCs w:val="18"/>
                <w:rtl/>
              </w:rPr>
              <w:t>مديرية التجهيزات العمومية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6E736F"/>
                <w:sz w:val="18"/>
                <w:szCs w:val="18"/>
                <w:rtl/>
              </w:rPr>
              <w:t xml:space="preserve">   ·   2018 — 2019</w:t>
            </w:r>
          </w:p>
          <w:p>
            <w:pPr>
              <w:spacing w:after="40" w:before="0" w:line="279" w:lineRule="auto"/>
              <w:bidi/>
              <w:ind w:start="255" w:hanging="200"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  <w:rtl/>
              </w:rPr>
              <w:t xml:space="preserve">▪  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9"/>
                <w:szCs w:val="19"/>
                <w:rtl/>
              </w:rPr>
              <w:t>متابعة ورشة متوسطة: محاضر الاجتماعات، الكشوف والوضعيات المالية للأشغال.</w:t>
            </w:r>
          </w:p>
          <w:p>
            <w:pPr>
              <w:spacing w:after="80" w:before="160" w:line="237" w:lineRule="auto"/>
              <w:bidi/>
              <w:pBdr>
                <w:bottom w:val="single" w:sz="6" w:space="4" w:color="D9D2C4"/>
              </w:pBdr>
            </w:pPr>
            <w:r>
              <w:rPr>
                <w:rFonts w:ascii="Noto Kufi Arabic" w:hAnsi="Noto Kufi Arabic" w:cs="Noto Kufi Arabic" w:eastAsia="Noto Kufi Arabic"/>
                <w:b/>
                <w:color w:val="B5653A"/>
                <w:sz w:val="22"/>
                <w:szCs w:val="22"/>
                <w:bCs/>
                <w:rtl/>
              </w:rPr>
              <w:t>التكوين</w:t>
            </w:r>
          </w:p>
          <w:p>
            <w:pPr>
              <w:spacing w:after="0" w:before="8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/>
                <w:color w:val="14231E"/>
                <w:sz w:val="20"/>
                <w:szCs w:val="20"/>
                <w:bCs/>
                <w:rtl/>
              </w:rPr>
              <w:t>ماستر هندسة مدنية — هياكل</w:t>
            </w:r>
          </w:p>
          <w:p>
            <w:pPr>
              <w:spacing w:after="0" w:before="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6E736F"/>
                <w:sz w:val="18"/>
                <w:szCs w:val="18"/>
                <w:rtl/>
              </w:rPr>
              <w:t>جامعة وهران   ·   2018</w:t>
            </w:r>
          </w:p>
          <w:p>
            <w:pPr>
              <w:spacing w:after="0" w:before="8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/>
                <w:color w:val="14231E"/>
                <w:sz w:val="20"/>
                <w:szCs w:val="20"/>
                <w:bCs/>
                <w:rtl/>
              </w:rPr>
              <w:t>ليسانس هندسة مدنية</w:t>
            </w:r>
          </w:p>
          <w:p>
            <w:pPr>
              <w:spacing w:after="0" w:before="0" w:line="237" w:lineRule="auto"/>
              <w:bidi/>
            </w:pPr>
            <w:r>
              <w:rPr>
                <w:rFonts w:ascii="IBM Plex Sans Arabic" w:hAnsi="IBM Plex Sans Arabic" w:cs="IBM Plex Sans Arabic" w:eastAsia="IBM Plex Sans Arabic"/>
                <w:b w:val="0"/>
                <w:color w:val="6E736F"/>
                <w:sz w:val="18"/>
                <w:szCs w:val="18"/>
                <w:rtl/>
              </w:rPr>
              <w:t>جامعة وهران   ·   2016</w:t>
            </w:r>
          </w:p>
          <w:p>
            <w:pPr>
              <w:spacing w:after="80" w:before="160" w:line="237" w:lineRule="auto"/>
              <w:bidi/>
              <w:pBdr>
                <w:bottom w:val="single" w:sz="6" w:space="4" w:color="D9D2C4"/>
              </w:pBdr>
            </w:pPr>
            <w:r>
              <w:rPr>
                <w:rFonts w:ascii="Noto Kufi Arabic" w:hAnsi="Noto Kufi Arabic" w:cs="Noto Kufi Arabic" w:eastAsia="Noto Kufi Arabic"/>
                <w:b/>
                <w:color w:val="B5653A"/>
                <w:sz w:val="22"/>
                <w:szCs w:val="22"/>
                <w:bCs/>
                <w:rtl/>
              </w:rPr>
              <w:t>شهادات ودورات</w:t>
            </w:r>
          </w:p>
          <w:p>
            <w:pPr>
              <w:spacing w:after="0" w:before="40" w:line="237" w:lineRule="auto"/>
              <w:bidi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  <w:rtl/>
              </w:rPr>
              <w:t xml:space="preserve">▪  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9"/>
                <w:szCs w:val="19"/>
                <w:rtl/>
              </w:rPr>
              <w:t>إدارة المشاريع (دورة 40 ساعة)</w:t>
            </w:r>
          </w:p>
          <w:p>
            <w:pPr>
              <w:spacing w:after="0" w:before="40" w:line="237" w:lineRule="auto"/>
              <w:bidi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  <w:rtl/>
              </w:rPr>
              <w:t xml:space="preserve">▪  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9"/>
                <w:szCs w:val="19"/>
                <w:rtl/>
              </w:rPr>
              <w:t>السلامة في الورشة — مستوى التأطير</w:t>
            </w:r>
          </w:p>
          <w:p>
            <w:pPr>
              <w:spacing w:after="0" w:before="40" w:line="237" w:lineRule="auto"/>
              <w:bidi/>
            </w:pPr>
            <w:r>
              <w:rPr>
                <w:rFonts w:ascii="DejaVu Sans" w:hAnsi="DejaVu Sans" w:cs="DejaVu Sans" w:eastAsia="DejaVu Sans"/>
                <w:b w:val="0"/>
                <w:color w:val="B5653A"/>
                <w:sz w:val="16"/>
                <w:szCs w:val="16"/>
                <w:rtl/>
              </w:rPr>
              <w:t xml:space="preserve">▪  </w:t>
            </w:r>
            <w:r>
              <w:rPr>
                <w:rFonts w:ascii="IBM Plex Sans Arabic" w:hAnsi="IBM Plex Sans Arabic" w:cs="IBM Plex Sans Arabic" w:eastAsia="IBM Plex Sans Arabic"/>
                <w:b w:val="0"/>
                <w:color w:val="14231E"/>
                <w:sz w:val="19"/>
                <w:szCs w:val="19"/>
                <w:rtl/>
              </w:rPr>
              <w:t>Revit Structure — مستوى متقدم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0" w:right="0" w:bottom="340" w:left="0" w:header="72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0" w:line="237" w:lineRule="auto"/>
      <w:bidi/>
      <w:jc w:val="center"/>
    </w:pPr>
    <w:r>
      <w:rPr>
        <w:rFonts w:ascii="IBM Plex Sans Arabic" w:hAnsi="IBM Plex Sans Arabic" w:cs="IBM Plex Sans Arabic" w:eastAsia="IBM Plex Sans Arabic"/>
        <w:b w:val="0"/>
        <w:color w:val="6E736F"/>
        <w:sz w:val="15"/>
        <w:szCs w:val="15"/>
        <w:rtl/>
      </w:rPr>
      <w:t>نموذج سيرة ذاتية — مترشح افتراضي. تصميم Cadrien Studio.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  <w:bidi/>
    </w:pPr>
    <w:rPr>
      <w:rFonts w:ascii="IBM Plex Sans Arabic" w:hAnsi="IBM Plex Sans Arabic" w:cs="IBM Plex Sans Arabic" w:eastAsia="IBM Plex Sans Arabi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سيرة ذاتية (عربي) — Cadrien Studio</dc:title>
  <dc:subject/>
  <dc:creator>Cadrien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